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bCs/>
        </w:rPr>
        <w:t>RMK Tartumaa metskond</w:t>
      </w:r>
    </w:p>
    <w:p>
      <w:pPr>
        <w:pStyle w:val="Normal"/>
        <w:jc w:val="both"/>
        <w:rPr/>
      </w:pPr>
      <w:bookmarkStart w:id="0" w:name="OLE_LINK7"/>
      <w:bookmarkStart w:id="1" w:name="OLE_LINK8"/>
      <w:bookmarkStart w:id="2" w:name="OLE_LINK9"/>
      <w:bookmarkEnd w:id="0"/>
      <w:bookmarkEnd w:id="1"/>
      <w:bookmarkEnd w:id="2"/>
      <w:r>
        <w:rPr>
          <w:rFonts w:eastAsia="Calibri"/>
          <w:szCs w:val="22"/>
        </w:rPr>
        <w:t>Rõõmu tee 6, Tartu, 51013 Tartumaa</w:t>
      </w:r>
    </w:p>
    <w:p>
      <w:pPr>
        <w:pStyle w:val="Normal"/>
        <w:tabs>
          <w:tab w:val="left" w:pos="5670" w:leader="none"/>
        </w:tabs>
        <w:rPr/>
      </w:pPr>
      <w:r>
        <w:rPr>
          <w:rFonts w:eastAsia="Calibri"/>
          <w:color w:val="0000FF"/>
          <w:szCs w:val="22"/>
          <w:u w:val="single"/>
        </w:rPr>
        <w:t>toomas.haas</w:t>
      </w:r>
      <w:hyperlink r:id="rId2">
        <w:r>
          <w:rPr>
            <w:rStyle w:val="InternetLink"/>
            <w:rFonts w:eastAsia="Calibri"/>
            <w:szCs w:val="22"/>
          </w:rPr>
          <w:t>@rmk.ee</w:t>
        </w:r>
      </w:hyperlink>
      <w:r>
        <w:rPr>
          <w:rFonts w:eastAsia="Calibri"/>
          <w:szCs w:val="22"/>
        </w:rPr>
        <w:t xml:space="preserve"> </w:t>
      </w:r>
    </w:p>
    <w:p>
      <w:pPr>
        <w:pStyle w:val="Normal"/>
        <w:tabs>
          <w:tab w:val="left" w:pos="5670" w:leader="none"/>
        </w:tabs>
        <w:rPr/>
      </w:pPr>
      <w:r>
        <w:rPr>
          <w:rFonts w:eastAsia="Calibri"/>
          <w:szCs w:val="22"/>
        </w:rPr>
        <w:tab/>
        <w:t>Meie 11.mai 2020 nr 13-3/</w:t>
      </w:r>
      <w:r>
        <w:rPr>
          <w:rFonts w:eastAsia="Calibri"/>
          <w:szCs w:val="22"/>
        </w:rPr>
        <w:t>115</w:t>
      </w:r>
    </w:p>
    <w:p>
      <w:pPr>
        <w:pStyle w:val="Normal"/>
        <w:spacing w:before="480" w:after="480"/>
        <w:rPr/>
      </w:pPr>
      <w:r>
        <w:rPr>
          <w:rFonts w:eastAsia="Calibri"/>
          <w:b/>
          <w:szCs w:val="22"/>
        </w:rPr>
        <w:t xml:space="preserve">Taotlus Elva Vallavalitsuse ja RMK vaheliseks Vaikse järve </w:t>
      </w:r>
      <w:r>
        <w:rPr>
          <w:rFonts w:eastAsia="Calibri"/>
          <w:b/>
          <w:szCs w:val="22"/>
        </w:rPr>
        <w:t>puhke</w:t>
      </w:r>
      <w:r>
        <w:rPr>
          <w:rFonts w:eastAsia="Calibri"/>
          <w:b/>
          <w:szCs w:val="22"/>
        </w:rPr>
        <w:t>koha maakasutuslepingu sõlmimiseks</w:t>
      </w:r>
    </w:p>
    <w:p>
      <w:pPr>
        <w:pStyle w:val="Normal"/>
        <w:rPr/>
      </w:pPr>
      <w:r>
        <w:rPr>
          <w:rFonts w:eastAsia="Calibri"/>
          <w:szCs w:val="22"/>
          <w:lang w:val="fi-FI"/>
        </w:rPr>
        <w:t xml:space="preserve">Vastavalt Vapramäe-Vellavere-Vitipalu Sihtasutuse, RMK, Nõo valla ja Elva valla vahelistele läbirääkimistele, mille kokkuleppeks on sihtasutuse nõukogu 22. novembri 2019 otsus nr 3 (lisatud), palume teil ette valmistada maakasutusleping Vaikse järve </w:t>
      </w:r>
      <w:r>
        <w:rPr>
          <w:rFonts w:eastAsia="Calibri"/>
          <w:szCs w:val="22"/>
          <w:lang w:val="fi-FI"/>
        </w:rPr>
        <w:t>puhke</w:t>
      </w:r>
      <w:r>
        <w:rPr>
          <w:rFonts w:eastAsia="Calibri"/>
          <w:szCs w:val="22"/>
          <w:lang w:val="fi-FI"/>
        </w:rPr>
        <w:t xml:space="preserve">koha haldamiseks ja hooldamiseks. </w:t>
      </w:r>
      <w:r>
        <w:rPr>
          <w:rFonts w:eastAsia="Calibri"/>
          <w:szCs w:val="22"/>
          <w:lang w:val="fi-FI"/>
        </w:rPr>
        <w:t>Puhkekoht asub Elva metskond 87 kinnistul (kü 69403:003:0087). 3000m</w:t>
      </w:r>
      <w:r>
        <w:rPr>
          <w:rFonts w:eastAsia="Calibri"/>
          <w:szCs w:val="22"/>
          <w:vertAlign w:val="superscript"/>
          <w:lang w:val="fi-FI"/>
        </w:rPr>
        <w:t xml:space="preserve">2 </w:t>
      </w:r>
      <w:r>
        <w:rPr>
          <w:rFonts w:eastAsia="Calibri"/>
          <w:position w:val="0"/>
          <w:sz w:val="22"/>
          <w:szCs w:val="22"/>
          <w:vertAlign w:val="baseline"/>
          <w:lang w:val="fi-FI"/>
        </w:rPr>
        <w:t>suurusel maa-alal asub lõkkekohale lisaks aastakümneid olnud ja paredatud purre, ujumiskoht kabiini, päästerõnga ning infostendiga.</w:t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/>
      </w:pPr>
      <w:r>
        <w:rPr>
          <w:rFonts w:cs="Calibri" w:cstheme="minorHAnsi"/>
          <w:bCs/>
          <w:lang w:val="fi-FI"/>
        </w:rPr>
        <w:t>Lisad:</w:t>
      </w:r>
    </w:p>
    <w:p>
      <w:pPr>
        <w:pStyle w:val="Normal"/>
        <w:rPr>
          <w:lang w:val="fi-FI"/>
        </w:rPr>
      </w:pPr>
      <w:r>
        <w:rPr>
          <w:lang w:val="fi-FI"/>
        </w:rPr>
        <w:t>Lisa 1. Vapramäe-Vellavere-Vitipalu SA  nõukogu otsus nr 3, 22.11.2019.</w:t>
      </w:r>
    </w:p>
    <w:p>
      <w:pPr>
        <w:pStyle w:val="Normal"/>
        <w:rPr/>
      </w:pPr>
      <w:r>
        <w:rPr>
          <w:rFonts w:cs="Calibri" w:cstheme="minorHAnsi"/>
          <w:bCs/>
          <w:lang w:val="fi-FI"/>
        </w:rPr>
        <w:t xml:space="preserve">Lisa 2. Vaikse järve </w:t>
      </w:r>
      <w:r>
        <w:rPr>
          <w:rFonts w:cs="Calibri" w:cstheme="minorHAnsi"/>
          <w:bCs/>
          <w:lang w:val="fi-FI"/>
        </w:rPr>
        <w:t>puhke</w:t>
      </w:r>
      <w:r>
        <w:rPr>
          <w:rFonts w:cs="Calibri" w:cstheme="minorHAnsi"/>
          <w:bCs/>
          <w:lang w:val="fi-FI"/>
        </w:rPr>
        <w:t xml:space="preserve">koha koordinaadid, </w:t>
      </w:r>
      <w:r>
        <w:rPr>
          <w:rFonts w:cs="Calibri" w:cstheme="minorHAnsi"/>
          <w:bCs/>
          <w:lang w:val="fi-FI"/>
        </w:rPr>
        <w:t>asendi</w:t>
      </w:r>
      <w:r>
        <w:rPr>
          <w:rFonts w:cs="Calibri" w:cstheme="minorHAnsi"/>
          <w:bCs/>
          <w:lang w:val="fi-FI"/>
        </w:rPr>
        <w:t>plaan.</w:t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  <w:t>Lugupidamisega</w:t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  <w:t>Toomas Järveoja</w:t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  <w:t>Vallavanem</w:t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  <w:t>Koostaja:</w:t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  <w:t>Terje Korss</w:t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  <w:t>Vallavaraspetsialist</w:t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  <w:t>Tel +372 53020888</w:t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  <w:t>E-post terje.korss@elva.ee</w:t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851" w:header="680" w:top="737" w:footer="272" w:bottom="680" w:gutter="0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Kontuurtabel"/>
      <w:tblW w:w="9498" w:type="dxa"/>
      <w:jc w:val="left"/>
      <w:tblInd w:w="0" w:type="dxa"/>
      <w:tblCellMar>
        <w:top w:w="0" w:type="dxa"/>
        <w:left w:w="113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826"/>
      <w:gridCol w:w="2551"/>
      <w:gridCol w:w="3121"/>
    </w:tblGrid>
    <w:tr>
      <w:trPr>
        <w:trHeight w:val="400" w:hRule="atLeast"/>
      </w:trPr>
      <w:tc>
        <w:tcPr>
          <w:tcW w:w="3826" w:type="dxa"/>
          <w:tcBorders>
            <w:top w:val="double" w:sz="4" w:space="0" w:color="00000A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Footer"/>
            <w:tabs>
              <w:tab w:val="center" w:pos="4153" w:leader="none"/>
              <w:tab w:val="left" w:pos="4536" w:leader="none"/>
              <w:tab w:val="right" w:pos="8306" w:leader="none"/>
              <w:tab w:val="right" w:pos="10773" w:leader="none"/>
            </w:tabs>
            <w:ind w:left="34" w:hanging="34"/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>Kesk 32</w:t>
          </w:r>
        </w:p>
      </w:tc>
      <w:tc>
        <w:tcPr>
          <w:tcW w:w="2551" w:type="dxa"/>
          <w:tcBorders>
            <w:top w:val="double" w:sz="4" w:space="0" w:color="00000A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Footer"/>
            <w:tabs>
              <w:tab w:val="left" w:pos="742" w:leader="none"/>
              <w:tab w:val="center" w:pos="4153" w:leader="none"/>
              <w:tab w:val="right" w:pos="8306" w:leader="none"/>
              <w:tab w:val="right" w:pos="10773" w:leader="none"/>
            </w:tabs>
            <w:ind w:hanging="1"/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>telefon:</w:t>
            <w:tab/>
            <w:t>730 9880</w:t>
          </w:r>
        </w:p>
      </w:tc>
      <w:tc>
        <w:tcPr>
          <w:tcW w:w="3121" w:type="dxa"/>
          <w:tcBorders>
            <w:top w:val="double" w:sz="4" w:space="0" w:color="00000A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Footer"/>
            <w:tabs>
              <w:tab w:val="center" w:pos="4153" w:leader="none"/>
              <w:tab w:val="left" w:pos="4536" w:leader="none"/>
              <w:tab w:val="right" w:pos="8306" w:leader="none"/>
              <w:tab w:val="right" w:pos="10773" w:leader="none"/>
            </w:tabs>
            <w:jc w:val="right"/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>a/a  EE123300333718230004</w:t>
          </w:r>
        </w:p>
      </w:tc>
    </w:tr>
    <w:tr>
      <w:trPr/>
      <w:tc>
        <w:tcPr>
          <w:tcW w:w="382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tabs>
              <w:tab w:val="center" w:pos="4153" w:leader="none"/>
              <w:tab w:val="left" w:pos="4536" w:leader="none"/>
              <w:tab w:val="right" w:pos="8306" w:leader="none"/>
              <w:tab w:val="right" w:pos="10773" w:leader="none"/>
            </w:tabs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>61507 Elva linn, Elva vald, Tartumaa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tabs>
              <w:tab w:val="left" w:pos="742" w:leader="none"/>
              <w:tab w:val="center" w:pos="4153" w:leader="none"/>
              <w:tab w:val="right" w:pos="8306" w:leader="none"/>
              <w:tab w:val="right" w:pos="10773" w:leader="none"/>
            </w:tabs>
            <w:ind w:left="34" w:hanging="34"/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>e-post:</w:t>
            <w:tab/>
            <w:t>elva@elva.ee</w:t>
          </w:r>
        </w:p>
      </w:tc>
      <w:tc>
        <w:tcPr>
          <w:tcW w:w="312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tabs>
              <w:tab w:val="center" w:pos="4153" w:leader="none"/>
              <w:tab w:val="left" w:pos="4536" w:leader="none"/>
              <w:tab w:val="right" w:pos="8306" w:leader="none"/>
              <w:tab w:val="right" w:pos="10773" w:leader="none"/>
            </w:tabs>
            <w:jc w:val="right"/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>Danske Bank 720</w:t>
          </w:r>
        </w:p>
      </w:tc>
    </w:tr>
    <w:tr>
      <w:trPr/>
      <w:tc>
        <w:tcPr>
          <w:tcW w:w="382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tabs>
              <w:tab w:val="center" w:pos="4153" w:leader="none"/>
              <w:tab w:val="left" w:pos="4536" w:leader="none"/>
              <w:tab w:val="right" w:pos="8306" w:leader="none"/>
              <w:tab w:val="right" w:pos="10773" w:leader="none"/>
            </w:tabs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>reg nr 77000170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tabs>
              <w:tab w:val="left" w:pos="742" w:leader="none"/>
              <w:tab w:val="center" w:pos="4153" w:leader="none"/>
              <w:tab w:val="right" w:pos="8306" w:leader="none"/>
              <w:tab w:val="right" w:pos="10773" w:leader="none"/>
            </w:tabs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</w:r>
        </w:p>
      </w:tc>
      <w:tc>
        <w:tcPr>
          <w:tcW w:w="312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tabs>
              <w:tab w:val="center" w:pos="4153" w:leader="none"/>
              <w:tab w:val="left" w:pos="4536" w:leader="none"/>
              <w:tab w:val="right" w:pos="8306" w:leader="none"/>
              <w:tab w:val="right" w:pos="10773" w:leader="none"/>
            </w:tabs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</w:r>
        </w:p>
      </w:tc>
    </w:tr>
  </w:tbl>
  <w:p>
    <w:pPr>
      <w:pStyle w:val="Footer"/>
      <w:tabs>
        <w:tab w:val="center" w:pos="4153" w:leader="none"/>
        <w:tab w:val="left" w:pos="4536" w:leader="none"/>
        <w:tab w:val="left" w:pos="5245" w:leader="none"/>
        <w:tab w:val="right" w:pos="8306" w:leader="none"/>
        <w:tab w:val="right" w:pos="10773" w:leader="none"/>
      </w:tabs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0" distR="0">
          <wp:extent cx="807085" cy="921385"/>
          <wp:effectExtent l="0" t="0" r="0" b="0"/>
          <wp:docPr id="1" name="Pilt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cs="Tahoma"/>
        <w:spacing w:val="20"/>
        <w:sz w:val="28"/>
        <w:szCs w:val="28"/>
      </w:rPr>
    </w:pPr>
    <w:r>
      <w:rPr>
        <w:rFonts w:cs="Tahoma"/>
        <w:spacing w:val="20"/>
        <w:sz w:val="28"/>
        <w:szCs w:val="28"/>
      </w:rPr>
      <w:t>ELVA VALLAVALITSUS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3c342a"/>
    <w:pPr>
      <w:widowControl/>
      <w:bidi w:val="0"/>
      <w:jc w:val="both"/>
    </w:pPr>
    <w:rPr>
      <w:rFonts w:ascii="Calibri" w:hAnsi="Calibri" w:eastAsia="Times New Roman" w:cs="Times New Roman" w:asciiTheme="minorHAnsi" w:hAnsiTheme="minorHAnsi"/>
      <w:color w:val="00000A"/>
      <w:kern w:val="0"/>
      <w:sz w:val="22"/>
      <w:szCs w:val="24"/>
      <w:lang w:val="et-EE" w:eastAsia="en-US" w:bidi="ar-SA"/>
    </w:rPr>
  </w:style>
  <w:style w:type="paragraph" w:styleId="Heading1">
    <w:name w:val="Heading 1"/>
    <w:basedOn w:val="Normal"/>
    <w:qFormat/>
    <w:pPr>
      <w:keepNext w:val="true"/>
      <w:outlineLvl w:val="0"/>
    </w:pPr>
    <w:rPr>
      <w:b/>
      <w:bCs/>
    </w:rPr>
  </w:style>
  <w:style w:type="paragraph" w:styleId="Heading2">
    <w:name w:val="Heading 2"/>
    <w:basedOn w:val="Normal"/>
    <w:qFormat/>
    <w:pPr>
      <w:keepNext w:val="true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semiHidden/>
    <w:rPr>
      <w:color w:val="0000FF"/>
      <w:u w:val="single"/>
    </w:rPr>
  </w:style>
  <w:style w:type="character" w:styleId="JutumullitekstMrk" w:customStyle="1">
    <w:name w:val="Jutumullitekst Märk"/>
    <w:basedOn w:val="DefaultParagraphFont"/>
    <w:link w:val="Jutumullitekst"/>
    <w:uiPriority w:val="99"/>
    <w:semiHidden/>
    <w:qFormat/>
    <w:rsid w:val="005e14c0"/>
    <w:rPr>
      <w:rFonts w:ascii="Tahoma" w:hAnsi="Tahoma" w:cs="Tahoma"/>
      <w:sz w:val="16"/>
      <w:szCs w:val="16"/>
      <w:lang w:eastAsia="en-US"/>
    </w:rPr>
  </w:style>
  <w:style w:type="character" w:styleId="ListLabel1">
    <w:name w:val="ListLabel 1"/>
    <w:qFormat/>
    <w:rPr>
      <w:rFonts w:eastAsia="Calibri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semiHidden/>
    <w:pPr/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semiHidden/>
    <w:pPr>
      <w:tabs>
        <w:tab w:val="center" w:pos="4153" w:leader="none"/>
        <w:tab w:val="right" w:pos="8306" w:leader="none"/>
      </w:tabs>
    </w:pPr>
    <w:rPr>
      <w:sz w:val="20"/>
      <w:szCs w:val="20"/>
      <w:lang w:val="en-GB"/>
    </w:rPr>
  </w:style>
  <w:style w:type="paragraph" w:styleId="Footer">
    <w:name w:val="Footer"/>
    <w:basedOn w:val="Normal"/>
    <w:semiHidden/>
    <w:pPr>
      <w:tabs>
        <w:tab w:val="center" w:pos="4153" w:leader="none"/>
        <w:tab w:val="right" w:pos="8306" w:leader="none"/>
      </w:tabs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b1734"/>
    <w:pPr>
      <w:ind w:left="708" w:hanging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5e14c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39"/>
    <w:rsid w:val="007313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una@rescue.ee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Elva Vallavalitsuse kirjablankett</Template>
  <TotalTime>21</TotalTime>
  <Application>LibreOffice/5.4.2.2$Windows_X86_64 LibreOffice_project/22b09f6418e8c2d508a9eaf86b2399209b0990f4</Application>
  <Pages>1</Pages>
  <Words>138</Words>
  <Characters>985</Characters>
  <CharactersWithSpaces>1101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2019-09-30T08:18:00Z</dcterms:created>
  <dc:creator/>
  <dc:description/>
  <dc:language>et-EE</dc:language>
  <cp:lastModifiedBy/>
  <dcterms:modified xsi:type="dcterms:W3CDTF">2020-05-11T11:19:50Z</dcterms:modified>
  <cp:revision>5</cp:revision>
  <dc:subject/>
  <dc:title>Elva Vallavalitsus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